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CE1" w:rsidRDefault="00451CE1" w:rsidP="00451CE1">
      <w:pPr>
        <w:spacing w:after="0"/>
        <w:rPr>
          <w:rFonts w:asciiTheme="majorHAnsi" w:hAnsiTheme="majorHAnsi"/>
          <w:sz w:val="24"/>
          <w:szCs w:val="24"/>
        </w:rPr>
      </w:pPr>
      <w:bookmarkStart w:id="0" w:name="_GoBack"/>
      <w:bookmarkEnd w:id="0"/>
      <w:r>
        <w:rPr>
          <w:rFonts w:asciiTheme="majorHAnsi" w:hAnsiTheme="majorHAnsi"/>
          <w:noProof/>
          <w:sz w:val="24"/>
          <w:szCs w:val="24"/>
        </w:rPr>
        <w:drawing>
          <wp:inline distT="0" distB="0" distL="0" distR="0">
            <wp:extent cx="961186" cy="792907"/>
            <wp:effectExtent l="19050" t="0" r="0"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7" cstate="print"/>
                    <a:stretch>
                      <a:fillRect/>
                    </a:stretch>
                  </pic:blipFill>
                  <pic:spPr>
                    <a:xfrm>
                      <a:off x="0" y="0"/>
                      <a:ext cx="961131" cy="792861"/>
                    </a:xfrm>
                    <a:prstGeom prst="rect">
                      <a:avLst/>
                    </a:prstGeom>
                  </pic:spPr>
                </pic:pic>
              </a:graphicData>
            </a:graphic>
          </wp:inline>
        </w:drawing>
      </w:r>
    </w:p>
    <w:p w:rsidR="006609D8" w:rsidRPr="00451CE1" w:rsidRDefault="006609D8" w:rsidP="00451CE1">
      <w:pPr>
        <w:spacing w:after="0"/>
        <w:jc w:val="center"/>
        <w:rPr>
          <w:rFonts w:asciiTheme="majorHAnsi" w:hAnsiTheme="majorHAnsi"/>
          <w:b/>
          <w:sz w:val="24"/>
          <w:szCs w:val="24"/>
        </w:rPr>
      </w:pPr>
      <w:r w:rsidRPr="00451CE1">
        <w:rPr>
          <w:rFonts w:asciiTheme="majorHAnsi" w:hAnsiTheme="majorHAnsi"/>
          <w:b/>
          <w:sz w:val="24"/>
          <w:szCs w:val="24"/>
        </w:rPr>
        <w:t>IL CONSIGLIO DIRETTIV</w:t>
      </w:r>
      <w:r w:rsidR="0006053F" w:rsidRPr="00451CE1">
        <w:rPr>
          <w:rFonts w:asciiTheme="majorHAnsi" w:hAnsiTheme="majorHAnsi"/>
          <w:b/>
          <w:sz w:val="24"/>
          <w:szCs w:val="24"/>
        </w:rPr>
        <w:t>0</w:t>
      </w:r>
      <w:r w:rsidRPr="00451CE1">
        <w:rPr>
          <w:rFonts w:asciiTheme="majorHAnsi" w:hAnsiTheme="majorHAnsi"/>
          <w:b/>
          <w:sz w:val="24"/>
          <w:szCs w:val="24"/>
        </w:rPr>
        <w:t xml:space="preserve"> UPI</w:t>
      </w:r>
    </w:p>
    <w:p w:rsidR="006609D8" w:rsidRPr="00451CE1" w:rsidRDefault="006609D8" w:rsidP="00451CE1">
      <w:pPr>
        <w:spacing w:after="0"/>
        <w:jc w:val="center"/>
        <w:rPr>
          <w:rFonts w:asciiTheme="majorHAnsi" w:hAnsiTheme="majorHAnsi"/>
          <w:b/>
          <w:sz w:val="24"/>
          <w:szCs w:val="24"/>
        </w:rPr>
      </w:pPr>
      <w:r w:rsidRPr="00451CE1">
        <w:rPr>
          <w:rFonts w:asciiTheme="majorHAnsi" w:hAnsiTheme="majorHAnsi"/>
          <w:b/>
          <w:sz w:val="24"/>
          <w:szCs w:val="24"/>
        </w:rPr>
        <w:t>RIUNITO A GENOVA IL 15 LUGLIO 2011</w:t>
      </w:r>
    </w:p>
    <w:p w:rsidR="00451CE1" w:rsidRPr="00451CE1" w:rsidRDefault="00451CE1" w:rsidP="00451CE1">
      <w:pPr>
        <w:spacing w:after="0"/>
        <w:rPr>
          <w:rFonts w:asciiTheme="majorHAnsi" w:hAnsiTheme="majorHAnsi"/>
          <w:sz w:val="24"/>
          <w:szCs w:val="24"/>
        </w:rPr>
      </w:pPr>
    </w:p>
    <w:p w:rsidR="006609D8" w:rsidRPr="00257A53" w:rsidRDefault="006609D8" w:rsidP="00451CE1">
      <w:pPr>
        <w:spacing w:after="0"/>
        <w:jc w:val="center"/>
        <w:rPr>
          <w:rFonts w:asciiTheme="majorHAnsi" w:hAnsiTheme="majorHAnsi"/>
          <w:b/>
          <w:i/>
          <w:sz w:val="24"/>
          <w:szCs w:val="24"/>
        </w:rPr>
      </w:pPr>
      <w:r w:rsidRPr="00257A53">
        <w:rPr>
          <w:rFonts w:asciiTheme="majorHAnsi" w:hAnsiTheme="majorHAnsi"/>
          <w:b/>
          <w:i/>
          <w:sz w:val="24"/>
          <w:szCs w:val="24"/>
        </w:rPr>
        <w:t>PRESO ATTO</w:t>
      </w:r>
    </w:p>
    <w:p w:rsidR="00612E6F" w:rsidRPr="00257A53" w:rsidRDefault="00612E6F" w:rsidP="00451CE1">
      <w:pPr>
        <w:spacing w:after="0"/>
        <w:jc w:val="center"/>
        <w:rPr>
          <w:rFonts w:asciiTheme="majorHAnsi" w:hAnsiTheme="majorHAnsi"/>
          <w:b/>
          <w:i/>
          <w:sz w:val="24"/>
          <w:szCs w:val="24"/>
        </w:rPr>
      </w:pPr>
    </w:p>
    <w:p w:rsidR="00257A53" w:rsidRDefault="00612E6F" w:rsidP="00257A53">
      <w:pPr>
        <w:ind w:firstLine="708"/>
        <w:jc w:val="both"/>
        <w:rPr>
          <w:rFonts w:asciiTheme="majorHAnsi" w:hAnsiTheme="majorHAnsi"/>
          <w:sz w:val="28"/>
          <w:szCs w:val="28"/>
        </w:rPr>
      </w:pPr>
      <w:r w:rsidRPr="00257A53">
        <w:rPr>
          <w:rFonts w:asciiTheme="majorHAnsi" w:hAnsiTheme="majorHAnsi"/>
          <w:sz w:val="24"/>
          <w:szCs w:val="24"/>
        </w:rPr>
        <w:t xml:space="preserve">Della drammatica situazione economica che colpisce il Paese in questi giorni, alla luce della quale lo stesso Capo dello Stato, On. Giorgio Napolitano, ha richiamato tutte le istituzioni a mostrare grande senso di responsabilità e a mandare all’Europa un forte segnale di coesione nazionale, a partire dalle Istituzioni della Repubblica. </w:t>
      </w:r>
      <w:r w:rsidR="00257A53">
        <w:rPr>
          <w:rFonts w:asciiTheme="majorHAnsi" w:hAnsiTheme="majorHAnsi"/>
          <w:sz w:val="28"/>
          <w:szCs w:val="28"/>
        </w:rPr>
        <w:t xml:space="preserve"> </w:t>
      </w:r>
    </w:p>
    <w:p w:rsidR="00612E6F" w:rsidRPr="00257A53" w:rsidRDefault="00612E6F" w:rsidP="00257A53">
      <w:pPr>
        <w:jc w:val="center"/>
        <w:rPr>
          <w:rFonts w:asciiTheme="majorHAnsi" w:hAnsiTheme="majorHAnsi"/>
          <w:sz w:val="28"/>
          <w:szCs w:val="28"/>
        </w:rPr>
      </w:pPr>
      <w:r w:rsidRPr="00257A53">
        <w:rPr>
          <w:rFonts w:asciiTheme="majorHAnsi" w:hAnsiTheme="majorHAnsi"/>
          <w:b/>
          <w:i/>
          <w:sz w:val="24"/>
          <w:szCs w:val="24"/>
        </w:rPr>
        <w:t>CONSAPEVOL</w:t>
      </w:r>
      <w:r w:rsidR="00257A53">
        <w:rPr>
          <w:rFonts w:asciiTheme="majorHAnsi" w:hAnsiTheme="majorHAnsi"/>
          <w:b/>
          <w:i/>
          <w:sz w:val="24"/>
          <w:szCs w:val="24"/>
        </w:rPr>
        <w:t>E</w:t>
      </w:r>
    </w:p>
    <w:p w:rsidR="00257A53" w:rsidRDefault="00612E6F" w:rsidP="00257A53">
      <w:pPr>
        <w:ind w:firstLine="708"/>
        <w:jc w:val="both"/>
        <w:rPr>
          <w:rFonts w:asciiTheme="majorHAnsi" w:hAnsiTheme="majorHAnsi"/>
          <w:b/>
          <w:sz w:val="24"/>
          <w:szCs w:val="24"/>
        </w:rPr>
      </w:pPr>
      <w:r w:rsidRPr="00257A53">
        <w:rPr>
          <w:rFonts w:asciiTheme="majorHAnsi" w:hAnsiTheme="majorHAnsi"/>
          <w:sz w:val="24"/>
          <w:szCs w:val="24"/>
        </w:rPr>
        <w:t xml:space="preserve">Che nell’attuale situazione dei mercati, per bloccare il forte rischio di </w:t>
      </w:r>
      <w:r w:rsidR="00157DAC">
        <w:rPr>
          <w:rFonts w:asciiTheme="majorHAnsi" w:hAnsiTheme="majorHAnsi"/>
          <w:sz w:val="24"/>
          <w:szCs w:val="24"/>
        </w:rPr>
        <w:t>fenomeni speculativi</w:t>
      </w:r>
      <w:r w:rsidRPr="00257A53">
        <w:rPr>
          <w:rFonts w:asciiTheme="majorHAnsi" w:hAnsiTheme="majorHAnsi"/>
          <w:sz w:val="24"/>
          <w:szCs w:val="24"/>
        </w:rPr>
        <w:t xml:space="preserve">, </w:t>
      </w:r>
      <w:r w:rsidRPr="00257A53">
        <w:rPr>
          <w:rFonts w:asciiTheme="majorHAnsi" w:hAnsiTheme="majorHAnsi"/>
          <w:b/>
          <w:sz w:val="24"/>
          <w:szCs w:val="24"/>
        </w:rPr>
        <w:t xml:space="preserve">la priorità </w:t>
      </w:r>
      <w:r w:rsidR="00257A53">
        <w:rPr>
          <w:rFonts w:asciiTheme="majorHAnsi" w:hAnsiTheme="majorHAnsi"/>
          <w:b/>
          <w:sz w:val="24"/>
          <w:szCs w:val="24"/>
        </w:rPr>
        <w:t xml:space="preserve">di tutto il Paese e delle istituzioni della Repubblica deve essere </w:t>
      </w:r>
      <w:r w:rsidRPr="00257A53">
        <w:rPr>
          <w:rFonts w:asciiTheme="majorHAnsi" w:hAnsiTheme="majorHAnsi"/>
          <w:b/>
          <w:sz w:val="24"/>
          <w:szCs w:val="24"/>
        </w:rPr>
        <w:t>l’approvazione nel più breve tempo possibile della manovra economica.</w:t>
      </w:r>
    </w:p>
    <w:p w:rsidR="00257A53" w:rsidRPr="00257A53" w:rsidRDefault="00257A53" w:rsidP="00257A53">
      <w:pPr>
        <w:jc w:val="center"/>
        <w:rPr>
          <w:rFonts w:asciiTheme="majorHAnsi" w:hAnsiTheme="majorHAnsi"/>
          <w:b/>
          <w:i/>
          <w:sz w:val="24"/>
          <w:szCs w:val="24"/>
        </w:rPr>
      </w:pPr>
      <w:r w:rsidRPr="00257A53">
        <w:rPr>
          <w:rFonts w:asciiTheme="majorHAnsi" w:hAnsiTheme="majorHAnsi"/>
          <w:b/>
          <w:i/>
          <w:sz w:val="24"/>
          <w:szCs w:val="24"/>
        </w:rPr>
        <w:t>CONSIDERATO</w:t>
      </w:r>
    </w:p>
    <w:p w:rsidR="00257A53" w:rsidRDefault="00257A53" w:rsidP="00257A53">
      <w:pPr>
        <w:spacing w:after="0"/>
        <w:ind w:firstLine="708"/>
        <w:jc w:val="both"/>
        <w:rPr>
          <w:rFonts w:asciiTheme="majorHAnsi" w:hAnsiTheme="majorHAnsi"/>
          <w:sz w:val="24"/>
          <w:szCs w:val="24"/>
        </w:rPr>
      </w:pPr>
      <w:r w:rsidRPr="00257A53">
        <w:rPr>
          <w:rFonts w:asciiTheme="majorHAnsi" w:hAnsiTheme="majorHAnsi"/>
          <w:sz w:val="24"/>
          <w:szCs w:val="24"/>
        </w:rPr>
        <w:t xml:space="preserve">Che il perdurare della crisi economica è determinato anche </w:t>
      </w:r>
      <w:r w:rsidRPr="00257A53">
        <w:rPr>
          <w:rFonts w:asciiTheme="majorHAnsi" w:hAnsiTheme="majorHAnsi"/>
          <w:b/>
          <w:sz w:val="24"/>
          <w:szCs w:val="24"/>
        </w:rPr>
        <w:t>dal sostanziale blocco degli investimenti e degli interventi di infrastrutturazione</w:t>
      </w:r>
      <w:r w:rsidRPr="00257A53">
        <w:rPr>
          <w:rFonts w:asciiTheme="majorHAnsi" w:hAnsiTheme="majorHAnsi"/>
          <w:sz w:val="24"/>
          <w:szCs w:val="24"/>
        </w:rPr>
        <w:t xml:space="preserve"> del territorio di cui gli enti locali sono storicamente principali att</w:t>
      </w:r>
      <w:r>
        <w:rPr>
          <w:rFonts w:asciiTheme="majorHAnsi" w:hAnsiTheme="majorHAnsi"/>
          <w:sz w:val="24"/>
          <w:szCs w:val="24"/>
        </w:rPr>
        <w:t>ori.</w:t>
      </w:r>
    </w:p>
    <w:p w:rsidR="004B706B" w:rsidRDefault="004B706B" w:rsidP="00257A53">
      <w:pPr>
        <w:spacing w:after="0"/>
        <w:ind w:firstLine="708"/>
        <w:jc w:val="both"/>
        <w:rPr>
          <w:rFonts w:asciiTheme="majorHAnsi" w:hAnsiTheme="majorHAnsi"/>
          <w:sz w:val="24"/>
          <w:szCs w:val="24"/>
        </w:rPr>
      </w:pPr>
    </w:p>
    <w:p w:rsidR="004B706B" w:rsidRDefault="004B706B" w:rsidP="004B706B">
      <w:pPr>
        <w:spacing w:after="0"/>
        <w:jc w:val="center"/>
        <w:rPr>
          <w:rFonts w:asciiTheme="majorHAnsi" w:hAnsiTheme="majorHAnsi"/>
          <w:b/>
          <w:i/>
          <w:sz w:val="24"/>
          <w:szCs w:val="24"/>
        </w:rPr>
      </w:pPr>
      <w:r>
        <w:rPr>
          <w:rFonts w:asciiTheme="majorHAnsi" w:hAnsiTheme="majorHAnsi"/>
          <w:b/>
          <w:i/>
          <w:sz w:val="24"/>
          <w:szCs w:val="24"/>
        </w:rPr>
        <w:t>CONSIDERATI INOLTRE</w:t>
      </w:r>
    </w:p>
    <w:p w:rsidR="004B706B" w:rsidRDefault="004B706B" w:rsidP="004B706B">
      <w:pPr>
        <w:spacing w:after="0"/>
        <w:ind w:firstLine="708"/>
        <w:jc w:val="both"/>
        <w:rPr>
          <w:rFonts w:asciiTheme="majorHAnsi" w:hAnsiTheme="majorHAnsi"/>
          <w:sz w:val="24"/>
          <w:szCs w:val="24"/>
        </w:rPr>
      </w:pPr>
    </w:p>
    <w:p w:rsidR="004B706B" w:rsidRDefault="004B706B" w:rsidP="004B706B">
      <w:pPr>
        <w:spacing w:after="0"/>
        <w:ind w:firstLine="708"/>
        <w:jc w:val="both"/>
        <w:rPr>
          <w:rFonts w:asciiTheme="majorHAnsi" w:hAnsiTheme="majorHAnsi"/>
          <w:sz w:val="24"/>
          <w:szCs w:val="24"/>
        </w:rPr>
      </w:pPr>
      <w:r>
        <w:rPr>
          <w:rFonts w:asciiTheme="majorHAnsi" w:hAnsiTheme="majorHAnsi"/>
          <w:sz w:val="24"/>
          <w:szCs w:val="24"/>
        </w:rPr>
        <w:t>I pesanti effetti dei tagli ai trasferimenti erariali operati con il decreto legge n.78/10, art. 14, che hanno consolidato minori entrate per le province pari a 300 milioni per il 2011 e 500 milioni a decorrere dal 2012, confermati dall’art. 20 comma 4, del dl 98/11;</w:t>
      </w:r>
    </w:p>
    <w:p w:rsidR="004B706B" w:rsidRPr="00257A53" w:rsidRDefault="004B706B" w:rsidP="00257A53">
      <w:pPr>
        <w:spacing w:after="0"/>
        <w:ind w:firstLine="708"/>
        <w:jc w:val="both"/>
        <w:rPr>
          <w:rFonts w:asciiTheme="majorHAnsi" w:hAnsiTheme="majorHAnsi"/>
          <w:sz w:val="24"/>
          <w:szCs w:val="24"/>
        </w:rPr>
      </w:pPr>
    </w:p>
    <w:p w:rsidR="004B706B" w:rsidRDefault="004B706B" w:rsidP="004B706B">
      <w:pPr>
        <w:spacing w:after="0"/>
        <w:jc w:val="center"/>
        <w:rPr>
          <w:rFonts w:asciiTheme="majorHAnsi" w:hAnsiTheme="majorHAnsi"/>
          <w:b/>
          <w:i/>
          <w:sz w:val="24"/>
          <w:szCs w:val="24"/>
        </w:rPr>
      </w:pPr>
      <w:r>
        <w:rPr>
          <w:rFonts w:asciiTheme="majorHAnsi" w:hAnsiTheme="majorHAnsi"/>
          <w:b/>
          <w:i/>
          <w:sz w:val="24"/>
          <w:szCs w:val="24"/>
        </w:rPr>
        <w:t>VISTI</w:t>
      </w:r>
    </w:p>
    <w:p w:rsidR="004B706B" w:rsidRDefault="004B706B" w:rsidP="004B706B">
      <w:pPr>
        <w:spacing w:after="0"/>
        <w:jc w:val="both"/>
        <w:rPr>
          <w:rFonts w:asciiTheme="majorHAnsi" w:hAnsiTheme="majorHAnsi"/>
          <w:sz w:val="24"/>
          <w:szCs w:val="24"/>
        </w:rPr>
      </w:pPr>
      <w:r>
        <w:rPr>
          <w:rFonts w:asciiTheme="majorHAnsi" w:hAnsiTheme="majorHAnsi"/>
          <w:sz w:val="24"/>
          <w:szCs w:val="24"/>
        </w:rPr>
        <w:t>I risultati conseguiti dal comparto Province in ordine agli obiettivi di finanza pubblica perseguiti con le regole del patto di stabilità interno, che hanno sancito inequivocabilmente il contributo positivo che gli enti hanno dato in questi ultimi anni al sistema Paese, seppur sostenendo una parte proporzionalmente assai più pesante della loro effettiva incidenza sull’intera finanza pubblica;</w:t>
      </w:r>
    </w:p>
    <w:p w:rsidR="00257A53" w:rsidRDefault="00257A53" w:rsidP="00257A53">
      <w:pPr>
        <w:jc w:val="center"/>
        <w:rPr>
          <w:rFonts w:asciiTheme="majorHAnsi" w:hAnsiTheme="majorHAnsi"/>
          <w:b/>
          <w:i/>
          <w:sz w:val="24"/>
          <w:szCs w:val="24"/>
        </w:rPr>
      </w:pPr>
    </w:p>
    <w:p w:rsidR="00612E6F" w:rsidRPr="004B706B" w:rsidRDefault="004B706B" w:rsidP="00257A53">
      <w:pPr>
        <w:jc w:val="center"/>
        <w:rPr>
          <w:rFonts w:asciiTheme="majorHAnsi" w:hAnsiTheme="majorHAnsi"/>
          <w:b/>
          <w:i/>
          <w:sz w:val="24"/>
          <w:szCs w:val="24"/>
          <w:u w:val="single"/>
        </w:rPr>
      </w:pPr>
      <w:r w:rsidRPr="004B706B">
        <w:rPr>
          <w:rFonts w:asciiTheme="majorHAnsi" w:hAnsiTheme="majorHAnsi"/>
          <w:b/>
          <w:i/>
          <w:sz w:val="24"/>
          <w:szCs w:val="24"/>
          <w:u w:val="single"/>
        </w:rPr>
        <w:t>RIBADISCE</w:t>
      </w:r>
    </w:p>
    <w:p w:rsidR="004B706B" w:rsidRDefault="00612E6F" w:rsidP="00612E6F">
      <w:pPr>
        <w:jc w:val="both"/>
        <w:rPr>
          <w:rFonts w:asciiTheme="majorHAnsi" w:hAnsiTheme="majorHAnsi"/>
          <w:sz w:val="24"/>
          <w:szCs w:val="24"/>
        </w:rPr>
      </w:pPr>
      <w:r w:rsidRPr="00257A53">
        <w:rPr>
          <w:rFonts w:asciiTheme="majorHAnsi" w:hAnsiTheme="majorHAnsi"/>
          <w:b/>
          <w:sz w:val="28"/>
          <w:szCs w:val="28"/>
        </w:rPr>
        <w:tab/>
      </w:r>
      <w:r w:rsidRPr="00257A53">
        <w:rPr>
          <w:rFonts w:asciiTheme="majorHAnsi" w:hAnsiTheme="majorHAnsi"/>
          <w:b/>
          <w:sz w:val="24"/>
          <w:szCs w:val="24"/>
        </w:rPr>
        <w:t xml:space="preserve">Il giudizio </w:t>
      </w:r>
      <w:r w:rsidR="004B706B">
        <w:rPr>
          <w:rFonts w:asciiTheme="majorHAnsi" w:hAnsiTheme="majorHAnsi"/>
          <w:b/>
          <w:sz w:val="24"/>
          <w:szCs w:val="24"/>
        </w:rPr>
        <w:t xml:space="preserve">negativo </w:t>
      </w:r>
      <w:r w:rsidRPr="00257A53">
        <w:rPr>
          <w:rFonts w:asciiTheme="majorHAnsi" w:hAnsiTheme="majorHAnsi"/>
          <w:b/>
          <w:sz w:val="24"/>
          <w:szCs w:val="24"/>
        </w:rPr>
        <w:t xml:space="preserve"> nei confronti della manovra, espresso in </w:t>
      </w:r>
      <w:r w:rsidR="004B706B">
        <w:rPr>
          <w:rFonts w:asciiTheme="majorHAnsi" w:hAnsiTheme="majorHAnsi"/>
          <w:b/>
          <w:sz w:val="24"/>
          <w:szCs w:val="24"/>
        </w:rPr>
        <w:t xml:space="preserve">Conferenza Unificata insieme a Regioni </w:t>
      </w:r>
      <w:r w:rsidRPr="00257A53">
        <w:rPr>
          <w:rFonts w:asciiTheme="majorHAnsi" w:hAnsiTheme="majorHAnsi"/>
          <w:b/>
          <w:sz w:val="24"/>
          <w:szCs w:val="24"/>
        </w:rPr>
        <w:t>e Comuni, poiché</w:t>
      </w:r>
      <w:r w:rsidR="00257A53" w:rsidRPr="00257A53">
        <w:rPr>
          <w:rFonts w:asciiTheme="majorHAnsi" w:hAnsiTheme="majorHAnsi"/>
          <w:b/>
          <w:sz w:val="24"/>
          <w:szCs w:val="24"/>
        </w:rPr>
        <w:t xml:space="preserve"> le norme previste</w:t>
      </w:r>
      <w:r w:rsidR="00257A53" w:rsidRPr="00257A53">
        <w:rPr>
          <w:rFonts w:asciiTheme="majorHAnsi" w:hAnsiTheme="majorHAnsi"/>
          <w:b/>
          <w:sz w:val="28"/>
          <w:szCs w:val="28"/>
        </w:rPr>
        <w:t xml:space="preserve"> </w:t>
      </w:r>
      <w:r w:rsidR="006609D8" w:rsidRPr="00257A53">
        <w:rPr>
          <w:rFonts w:asciiTheme="majorHAnsi" w:hAnsiTheme="majorHAnsi"/>
          <w:sz w:val="24"/>
          <w:szCs w:val="24"/>
        </w:rPr>
        <w:t>investono pesantemente ancora una volta il comparto delle regioni e delle autonomie locali; in particolare</w:t>
      </w:r>
      <w:r w:rsidR="004B706B">
        <w:rPr>
          <w:rFonts w:asciiTheme="majorHAnsi" w:hAnsiTheme="majorHAnsi"/>
          <w:sz w:val="24"/>
          <w:szCs w:val="24"/>
        </w:rPr>
        <w:t xml:space="preserve"> poiché: </w:t>
      </w:r>
    </w:p>
    <w:p w:rsidR="006609D8" w:rsidRDefault="005B4421" w:rsidP="004B706B">
      <w:pPr>
        <w:pStyle w:val="Paragrafoelenco"/>
        <w:numPr>
          <w:ilvl w:val="0"/>
          <w:numId w:val="1"/>
        </w:numPr>
        <w:jc w:val="both"/>
        <w:rPr>
          <w:rFonts w:asciiTheme="majorHAnsi" w:hAnsiTheme="majorHAnsi"/>
          <w:sz w:val="24"/>
          <w:szCs w:val="24"/>
        </w:rPr>
      </w:pPr>
      <w:r>
        <w:rPr>
          <w:rFonts w:asciiTheme="majorHAnsi" w:hAnsiTheme="majorHAnsi"/>
          <w:sz w:val="24"/>
          <w:szCs w:val="24"/>
        </w:rPr>
        <w:lastRenderedPageBreak/>
        <w:t xml:space="preserve">L’aggravamento del patto </w:t>
      </w:r>
      <w:r w:rsidR="0065055F">
        <w:rPr>
          <w:rFonts w:asciiTheme="majorHAnsi" w:hAnsiTheme="majorHAnsi"/>
          <w:sz w:val="24"/>
          <w:szCs w:val="24"/>
        </w:rPr>
        <w:t xml:space="preserve">per </w:t>
      </w:r>
      <w:r>
        <w:rPr>
          <w:rFonts w:asciiTheme="majorHAnsi" w:hAnsiTheme="majorHAnsi"/>
          <w:sz w:val="24"/>
          <w:szCs w:val="24"/>
        </w:rPr>
        <w:t>le Province assomma</w:t>
      </w:r>
      <w:r w:rsidR="006609D8" w:rsidRPr="004B706B">
        <w:rPr>
          <w:rFonts w:asciiTheme="majorHAnsi" w:hAnsiTheme="majorHAnsi"/>
          <w:sz w:val="24"/>
          <w:szCs w:val="24"/>
        </w:rPr>
        <w:t xml:space="preserve"> </w:t>
      </w:r>
      <w:r w:rsidR="0006053F" w:rsidRPr="004B706B">
        <w:rPr>
          <w:rFonts w:asciiTheme="majorHAnsi" w:hAnsiTheme="majorHAnsi"/>
          <w:sz w:val="24"/>
          <w:szCs w:val="24"/>
        </w:rPr>
        <w:t>nel biennio 2013-2014</w:t>
      </w:r>
      <w:r w:rsidR="00523926" w:rsidRPr="004B706B">
        <w:rPr>
          <w:rFonts w:asciiTheme="majorHAnsi" w:hAnsiTheme="majorHAnsi"/>
          <w:sz w:val="24"/>
          <w:szCs w:val="24"/>
        </w:rPr>
        <w:t xml:space="preserve"> </w:t>
      </w:r>
      <w:r w:rsidR="006609D8" w:rsidRPr="004B706B">
        <w:rPr>
          <w:rFonts w:asciiTheme="majorHAnsi" w:hAnsiTheme="majorHAnsi"/>
          <w:sz w:val="24"/>
          <w:szCs w:val="24"/>
        </w:rPr>
        <w:t xml:space="preserve">a </w:t>
      </w:r>
      <w:r w:rsidR="0006053F" w:rsidRPr="004B706B">
        <w:rPr>
          <w:rFonts w:asciiTheme="majorHAnsi" w:hAnsiTheme="majorHAnsi"/>
          <w:sz w:val="24"/>
          <w:szCs w:val="24"/>
        </w:rPr>
        <w:t xml:space="preserve"> 1,2 miliardi di euro; </w:t>
      </w:r>
    </w:p>
    <w:p w:rsidR="004B706B" w:rsidRDefault="004B706B" w:rsidP="004B706B">
      <w:pPr>
        <w:pStyle w:val="Paragrafoelenco"/>
        <w:ind w:left="420"/>
        <w:jc w:val="both"/>
        <w:rPr>
          <w:rFonts w:asciiTheme="majorHAnsi" w:hAnsiTheme="majorHAnsi"/>
          <w:sz w:val="24"/>
          <w:szCs w:val="24"/>
        </w:rPr>
      </w:pPr>
    </w:p>
    <w:p w:rsidR="004B706B" w:rsidRDefault="004B706B" w:rsidP="0065055F">
      <w:pPr>
        <w:pStyle w:val="Paragrafoelenco"/>
        <w:numPr>
          <w:ilvl w:val="0"/>
          <w:numId w:val="1"/>
        </w:numPr>
        <w:jc w:val="both"/>
        <w:rPr>
          <w:rFonts w:asciiTheme="majorHAnsi" w:hAnsiTheme="majorHAnsi"/>
          <w:sz w:val="24"/>
          <w:szCs w:val="24"/>
        </w:rPr>
      </w:pPr>
      <w:r>
        <w:rPr>
          <w:rFonts w:asciiTheme="majorHAnsi" w:hAnsiTheme="majorHAnsi"/>
          <w:sz w:val="24"/>
          <w:szCs w:val="24"/>
        </w:rPr>
        <w:t>le norme previs</w:t>
      </w:r>
      <w:r w:rsidR="0065055F">
        <w:rPr>
          <w:rFonts w:asciiTheme="majorHAnsi" w:hAnsiTheme="majorHAnsi"/>
          <w:sz w:val="24"/>
          <w:szCs w:val="24"/>
        </w:rPr>
        <w:t>t</w:t>
      </w:r>
      <w:r>
        <w:rPr>
          <w:rFonts w:asciiTheme="majorHAnsi" w:hAnsiTheme="majorHAnsi"/>
          <w:sz w:val="24"/>
          <w:szCs w:val="24"/>
        </w:rPr>
        <w:t>e al comma</w:t>
      </w:r>
      <w:r w:rsidR="0065055F" w:rsidRPr="0065055F">
        <w:t xml:space="preserve"> </w:t>
      </w:r>
      <w:r w:rsidR="0065055F" w:rsidRPr="0065055F">
        <w:rPr>
          <w:rFonts w:asciiTheme="majorHAnsi" w:hAnsiTheme="majorHAnsi"/>
          <w:sz w:val="24"/>
          <w:szCs w:val="24"/>
        </w:rPr>
        <w:t xml:space="preserve">9 </w:t>
      </w:r>
      <w:r w:rsidR="0065055F">
        <w:rPr>
          <w:rFonts w:asciiTheme="majorHAnsi" w:hAnsiTheme="majorHAnsi"/>
          <w:sz w:val="24"/>
          <w:szCs w:val="24"/>
        </w:rPr>
        <w:t xml:space="preserve">dell’articolo 20, che ponendo </w:t>
      </w:r>
      <w:r w:rsidR="0065055F" w:rsidRPr="0065055F">
        <w:rPr>
          <w:rFonts w:asciiTheme="majorHAnsi" w:hAnsiTheme="majorHAnsi"/>
          <w:sz w:val="24"/>
          <w:szCs w:val="24"/>
        </w:rPr>
        <w:t>al 40% il rapporto tra spesa di personale e spesa corrente  il limite  per procedere ad assunzioni di qualsivoglia tipologia</w:t>
      </w:r>
      <w:r w:rsidR="0065055F">
        <w:rPr>
          <w:rFonts w:asciiTheme="majorHAnsi" w:hAnsiTheme="majorHAnsi"/>
          <w:sz w:val="24"/>
          <w:szCs w:val="24"/>
        </w:rPr>
        <w:t xml:space="preserve">, comprese </w:t>
      </w:r>
      <w:r w:rsidR="0065055F" w:rsidRPr="0065055F">
        <w:rPr>
          <w:rFonts w:asciiTheme="majorHAnsi" w:hAnsiTheme="majorHAnsi"/>
          <w:sz w:val="24"/>
          <w:szCs w:val="24"/>
        </w:rPr>
        <w:t>anche le spese sostenute dalle società a partecipazione pubblica locale totale o di controllo</w:t>
      </w:r>
      <w:r w:rsidR="0065055F">
        <w:rPr>
          <w:rFonts w:asciiTheme="majorHAnsi" w:hAnsiTheme="majorHAnsi"/>
          <w:sz w:val="24"/>
          <w:szCs w:val="24"/>
        </w:rPr>
        <w:t>,</w:t>
      </w:r>
      <w:r w:rsidR="0065055F" w:rsidRPr="0065055F">
        <w:rPr>
          <w:rFonts w:asciiTheme="majorHAnsi" w:hAnsiTheme="majorHAnsi"/>
          <w:sz w:val="24"/>
          <w:szCs w:val="24"/>
        </w:rPr>
        <w:t xml:space="preserve"> </w:t>
      </w:r>
      <w:r w:rsidR="0065055F" w:rsidRPr="005B4421">
        <w:rPr>
          <w:rFonts w:asciiTheme="majorHAnsi" w:hAnsiTheme="majorHAnsi"/>
          <w:b/>
          <w:sz w:val="24"/>
          <w:szCs w:val="24"/>
        </w:rPr>
        <w:t>rischia</w:t>
      </w:r>
      <w:r w:rsidR="005B4421">
        <w:rPr>
          <w:rFonts w:asciiTheme="majorHAnsi" w:hAnsiTheme="majorHAnsi"/>
          <w:b/>
          <w:sz w:val="24"/>
          <w:szCs w:val="24"/>
        </w:rPr>
        <w:t>no</w:t>
      </w:r>
      <w:r w:rsidR="0065055F" w:rsidRPr="005B4421">
        <w:rPr>
          <w:rFonts w:asciiTheme="majorHAnsi" w:hAnsiTheme="majorHAnsi"/>
          <w:b/>
          <w:sz w:val="24"/>
          <w:szCs w:val="24"/>
        </w:rPr>
        <w:t xml:space="preserve"> di fatto di bloccare il processo di turn over</w:t>
      </w:r>
      <w:r w:rsidR="0065055F" w:rsidRPr="0065055F">
        <w:rPr>
          <w:rFonts w:asciiTheme="majorHAnsi" w:hAnsiTheme="majorHAnsi"/>
          <w:sz w:val="24"/>
          <w:szCs w:val="24"/>
        </w:rPr>
        <w:t>, anche in percentuale ridotta</w:t>
      </w:r>
      <w:r w:rsidR="0065055F">
        <w:rPr>
          <w:rFonts w:asciiTheme="majorHAnsi" w:hAnsiTheme="majorHAnsi"/>
          <w:sz w:val="24"/>
          <w:szCs w:val="24"/>
        </w:rPr>
        <w:t xml:space="preserve">; </w:t>
      </w:r>
      <w:r>
        <w:rPr>
          <w:rFonts w:asciiTheme="majorHAnsi" w:hAnsiTheme="majorHAnsi"/>
          <w:sz w:val="24"/>
          <w:szCs w:val="24"/>
        </w:rPr>
        <w:t xml:space="preserve"> </w:t>
      </w:r>
    </w:p>
    <w:p w:rsidR="004B706B" w:rsidRPr="004B706B" w:rsidRDefault="004B706B" w:rsidP="004B706B">
      <w:pPr>
        <w:pStyle w:val="Paragrafoelenco"/>
        <w:rPr>
          <w:rFonts w:asciiTheme="majorHAnsi" w:hAnsiTheme="majorHAnsi"/>
          <w:sz w:val="24"/>
          <w:szCs w:val="24"/>
        </w:rPr>
      </w:pPr>
    </w:p>
    <w:p w:rsidR="004B706B" w:rsidRDefault="004B706B" w:rsidP="004B706B">
      <w:pPr>
        <w:pStyle w:val="Paragrafoelenco"/>
        <w:numPr>
          <w:ilvl w:val="0"/>
          <w:numId w:val="1"/>
        </w:numPr>
        <w:jc w:val="both"/>
        <w:rPr>
          <w:rFonts w:asciiTheme="majorHAnsi" w:hAnsiTheme="majorHAnsi"/>
          <w:sz w:val="24"/>
          <w:szCs w:val="24"/>
        </w:rPr>
      </w:pPr>
      <w:r>
        <w:rPr>
          <w:rFonts w:asciiTheme="majorHAnsi" w:hAnsiTheme="majorHAnsi"/>
          <w:sz w:val="24"/>
          <w:szCs w:val="24"/>
        </w:rPr>
        <w:t xml:space="preserve">i criteri di virtuosità previsti per stabilire la ripartizione dell’alleggerimento del patto tra gli enti virtuosi appaiono </w:t>
      </w:r>
      <w:r w:rsidR="005B4421">
        <w:rPr>
          <w:rFonts w:asciiTheme="majorHAnsi" w:hAnsiTheme="majorHAnsi"/>
          <w:sz w:val="24"/>
          <w:szCs w:val="24"/>
        </w:rPr>
        <w:t xml:space="preserve">fumosi e non idonei a fotografare reali situazioni di effettiva virtuosità dei singoli enti; </w:t>
      </w:r>
    </w:p>
    <w:p w:rsidR="005B4421" w:rsidRPr="005B4421" w:rsidRDefault="005B4421" w:rsidP="005B4421">
      <w:pPr>
        <w:pStyle w:val="Paragrafoelenco"/>
        <w:rPr>
          <w:rFonts w:asciiTheme="majorHAnsi" w:hAnsiTheme="majorHAnsi"/>
          <w:sz w:val="24"/>
          <w:szCs w:val="24"/>
        </w:rPr>
      </w:pPr>
    </w:p>
    <w:p w:rsidR="005B4421" w:rsidRPr="005B4421" w:rsidRDefault="005B4421" w:rsidP="005B4421">
      <w:pPr>
        <w:pStyle w:val="Paragrafoelenco"/>
        <w:numPr>
          <w:ilvl w:val="0"/>
          <w:numId w:val="1"/>
        </w:numPr>
        <w:jc w:val="both"/>
        <w:rPr>
          <w:rFonts w:asciiTheme="majorHAnsi" w:hAnsiTheme="majorHAnsi"/>
          <w:sz w:val="24"/>
          <w:szCs w:val="24"/>
        </w:rPr>
      </w:pPr>
      <w:r w:rsidRPr="005B4421">
        <w:rPr>
          <w:rFonts w:asciiTheme="majorHAnsi" w:hAnsiTheme="majorHAnsi"/>
          <w:sz w:val="24"/>
          <w:szCs w:val="24"/>
        </w:rPr>
        <w:t>le norme previste dai  commi 10, 11 e 12 dell’art 20, che introducono ulteriori sanzioni nei confronti degli amministratori e dei dirigenti dei servizi finanziari delle Province, senza tenere conto del parallelo processo di approvazione dello schema di decreto legislativo attuativo della Legge 42/09  c.d. “Premi e sanzioni”.</w:t>
      </w:r>
    </w:p>
    <w:p w:rsidR="005B4421" w:rsidRPr="005B4421" w:rsidRDefault="005B4421" w:rsidP="005B4421">
      <w:pPr>
        <w:pStyle w:val="Paragrafoelenco"/>
        <w:ind w:left="420"/>
        <w:jc w:val="both"/>
        <w:rPr>
          <w:rFonts w:asciiTheme="majorHAnsi" w:hAnsiTheme="majorHAnsi"/>
        </w:rPr>
      </w:pPr>
    </w:p>
    <w:p w:rsidR="005B4421" w:rsidRPr="004B706B" w:rsidRDefault="005B4421" w:rsidP="004B706B">
      <w:pPr>
        <w:pStyle w:val="Paragrafoelenco"/>
        <w:numPr>
          <w:ilvl w:val="0"/>
          <w:numId w:val="1"/>
        </w:numPr>
        <w:jc w:val="both"/>
        <w:rPr>
          <w:rFonts w:asciiTheme="majorHAnsi" w:hAnsiTheme="majorHAnsi"/>
          <w:sz w:val="24"/>
          <w:szCs w:val="24"/>
        </w:rPr>
      </w:pPr>
      <w:r>
        <w:rPr>
          <w:rFonts w:asciiTheme="majorHAnsi" w:hAnsiTheme="majorHAnsi"/>
          <w:sz w:val="24"/>
          <w:szCs w:val="24"/>
        </w:rPr>
        <w:t xml:space="preserve">la mancanza di politiche di sviluppo anticicliche, in grado di favorire la ripresa degli investimenti e quindi la crescita economica dei territori e del Paese; </w:t>
      </w:r>
    </w:p>
    <w:p w:rsidR="005B4421" w:rsidRPr="0075082A" w:rsidRDefault="005B4421" w:rsidP="0075082A">
      <w:pPr>
        <w:spacing w:after="0"/>
        <w:jc w:val="center"/>
        <w:rPr>
          <w:rFonts w:asciiTheme="majorHAnsi" w:hAnsiTheme="majorHAnsi"/>
          <w:b/>
          <w:sz w:val="24"/>
          <w:szCs w:val="24"/>
        </w:rPr>
      </w:pPr>
      <w:r w:rsidRPr="0075082A">
        <w:rPr>
          <w:rFonts w:asciiTheme="majorHAnsi" w:hAnsiTheme="majorHAnsi"/>
          <w:b/>
          <w:sz w:val="24"/>
          <w:szCs w:val="24"/>
        </w:rPr>
        <w:t>CONSIDERATO</w:t>
      </w:r>
    </w:p>
    <w:p w:rsidR="005B4421" w:rsidRDefault="005B4421" w:rsidP="00451CE1">
      <w:pPr>
        <w:spacing w:after="0"/>
        <w:rPr>
          <w:rFonts w:asciiTheme="majorHAnsi" w:hAnsiTheme="majorHAnsi"/>
          <w:sz w:val="24"/>
          <w:szCs w:val="24"/>
        </w:rPr>
      </w:pPr>
    </w:p>
    <w:p w:rsidR="005B4421" w:rsidRDefault="005B4421" w:rsidP="00451CE1">
      <w:pPr>
        <w:spacing w:after="0"/>
        <w:rPr>
          <w:rFonts w:asciiTheme="majorHAnsi" w:hAnsiTheme="majorHAnsi"/>
          <w:sz w:val="24"/>
          <w:szCs w:val="24"/>
        </w:rPr>
      </w:pPr>
      <w:r>
        <w:rPr>
          <w:rFonts w:asciiTheme="majorHAnsi" w:hAnsiTheme="majorHAnsi"/>
          <w:sz w:val="24"/>
          <w:szCs w:val="24"/>
        </w:rPr>
        <w:t>L’esito positivo dell’incontro avuto il 13 luglio scorso presso il Ministero dell’Economia, nel quale il Governo ha assicurato:</w:t>
      </w:r>
    </w:p>
    <w:p w:rsidR="005B4421" w:rsidRDefault="005B4421" w:rsidP="00451CE1">
      <w:pPr>
        <w:spacing w:after="0"/>
        <w:rPr>
          <w:rFonts w:asciiTheme="majorHAnsi" w:hAnsiTheme="majorHAnsi"/>
          <w:sz w:val="24"/>
          <w:szCs w:val="24"/>
        </w:rPr>
      </w:pPr>
    </w:p>
    <w:p w:rsidR="005B4421" w:rsidRDefault="005B4421" w:rsidP="005B4421">
      <w:pPr>
        <w:pStyle w:val="Paragrafoelenco"/>
        <w:numPr>
          <w:ilvl w:val="0"/>
          <w:numId w:val="1"/>
        </w:numPr>
        <w:spacing w:after="0"/>
        <w:rPr>
          <w:rFonts w:asciiTheme="majorHAnsi" w:hAnsiTheme="majorHAnsi"/>
          <w:sz w:val="24"/>
          <w:szCs w:val="24"/>
        </w:rPr>
      </w:pPr>
      <w:r>
        <w:rPr>
          <w:rFonts w:asciiTheme="majorHAnsi" w:hAnsiTheme="majorHAnsi"/>
          <w:sz w:val="24"/>
          <w:szCs w:val="24"/>
        </w:rPr>
        <w:t xml:space="preserve">la cancellazione dei tagli al fondo sperimentale di riequilibrio e al successivo fondo perequativo per Province e Comuni, </w:t>
      </w:r>
      <w:r w:rsidR="004016F0">
        <w:rPr>
          <w:rFonts w:asciiTheme="majorHAnsi" w:hAnsiTheme="majorHAnsi"/>
          <w:sz w:val="24"/>
          <w:szCs w:val="24"/>
        </w:rPr>
        <w:t>e quindi la possibilità di avviare in maniera corretta il percorso di attuazione del federalismo fiscale;</w:t>
      </w:r>
    </w:p>
    <w:p w:rsidR="004016F0" w:rsidRDefault="004016F0" w:rsidP="004016F0">
      <w:pPr>
        <w:pStyle w:val="Paragrafoelenco"/>
        <w:spacing w:after="0"/>
        <w:ind w:left="420"/>
        <w:rPr>
          <w:rFonts w:asciiTheme="majorHAnsi" w:hAnsiTheme="majorHAnsi"/>
          <w:sz w:val="24"/>
          <w:szCs w:val="24"/>
        </w:rPr>
      </w:pPr>
    </w:p>
    <w:p w:rsidR="004016F0" w:rsidRPr="005B4421" w:rsidRDefault="004016F0" w:rsidP="005B4421">
      <w:pPr>
        <w:pStyle w:val="Paragrafoelenco"/>
        <w:numPr>
          <w:ilvl w:val="0"/>
          <w:numId w:val="1"/>
        </w:numPr>
        <w:spacing w:after="0"/>
        <w:rPr>
          <w:rFonts w:asciiTheme="majorHAnsi" w:hAnsiTheme="majorHAnsi"/>
          <w:sz w:val="24"/>
          <w:szCs w:val="24"/>
        </w:rPr>
      </w:pPr>
      <w:r>
        <w:rPr>
          <w:rFonts w:asciiTheme="majorHAnsi" w:hAnsiTheme="majorHAnsi"/>
          <w:sz w:val="24"/>
          <w:szCs w:val="24"/>
        </w:rPr>
        <w:t xml:space="preserve">la revisione degli indicatori di virtuosità per l’individuazione degli Enti </w:t>
      </w:r>
      <w:r w:rsidR="0075082A">
        <w:rPr>
          <w:rFonts w:asciiTheme="majorHAnsi" w:hAnsiTheme="majorHAnsi"/>
          <w:sz w:val="24"/>
          <w:szCs w:val="24"/>
        </w:rPr>
        <w:t xml:space="preserve">tra cui ripartire gli eventuali alleggerimenti al patto di stabilità, e l’assicurazione che tali indicatori saranno adottati previo raggiungimento di Intesa in Conferenza Unificata. </w:t>
      </w:r>
    </w:p>
    <w:p w:rsidR="00451CE1" w:rsidRPr="00257A53" w:rsidRDefault="00451CE1" w:rsidP="00451CE1">
      <w:pPr>
        <w:spacing w:after="0"/>
        <w:rPr>
          <w:rFonts w:asciiTheme="majorHAnsi" w:hAnsiTheme="majorHAnsi"/>
          <w:sz w:val="24"/>
          <w:szCs w:val="24"/>
        </w:rPr>
      </w:pPr>
    </w:p>
    <w:p w:rsidR="00451CE1" w:rsidRPr="00257A53" w:rsidRDefault="00451CE1" w:rsidP="00451CE1">
      <w:pPr>
        <w:spacing w:after="0"/>
        <w:jc w:val="center"/>
        <w:rPr>
          <w:rFonts w:asciiTheme="majorHAnsi" w:hAnsiTheme="majorHAnsi"/>
          <w:b/>
          <w:i/>
          <w:sz w:val="24"/>
          <w:szCs w:val="24"/>
        </w:rPr>
      </w:pPr>
      <w:r w:rsidRPr="00257A53">
        <w:rPr>
          <w:rFonts w:asciiTheme="majorHAnsi" w:hAnsiTheme="majorHAnsi"/>
          <w:b/>
          <w:i/>
          <w:sz w:val="24"/>
          <w:szCs w:val="24"/>
        </w:rPr>
        <w:t>CONSIDERATA</w:t>
      </w:r>
    </w:p>
    <w:p w:rsidR="00257A53" w:rsidRDefault="00257A53" w:rsidP="00257A53">
      <w:pPr>
        <w:spacing w:after="0"/>
        <w:ind w:firstLine="708"/>
        <w:jc w:val="both"/>
        <w:rPr>
          <w:rFonts w:asciiTheme="majorHAnsi" w:hAnsiTheme="majorHAnsi"/>
          <w:sz w:val="24"/>
          <w:szCs w:val="24"/>
        </w:rPr>
      </w:pPr>
    </w:p>
    <w:p w:rsidR="00451CE1" w:rsidRPr="00257A53" w:rsidRDefault="00451CE1" w:rsidP="00257A53">
      <w:pPr>
        <w:spacing w:after="0"/>
        <w:ind w:firstLine="708"/>
        <w:jc w:val="both"/>
        <w:rPr>
          <w:rFonts w:asciiTheme="majorHAnsi" w:hAnsiTheme="majorHAnsi"/>
          <w:sz w:val="24"/>
          <w:szCs w:val="24"/>
        </w:rPr>
      </w:pPr>
      <w:r w:rsidRPr="00257A53">
        <w:rPr>
          <w:rFonts w:asciiTheme="majorHAnsi" w:hAnsiTheme="majorHAnsi"/>
          <w:sz w:val="24"/>
          <w:szCs w:val="24"/>
        </w:rPr>
        <w:t>L’attuale fase di avvio del federalismo fiscale, che vede nel fondo sperimentale prima e nel fondo perequativo poi gli strumenti su cui poggiare l’intera impalcatura del meccanismo di autonomia finanziaria degli enti, già a decorrere dal 2012.</w:t>
      </w:r>
    </w:p>
    <w:p w:rsidR="00451CE1" w:rsidRPr="00257A53" w:rsidRDefault="00451CE1" w:rsidP="00451CE1">
      <w:pPr>
        <w:spacing w:after="0"/>
        <w:rPr>
          <w:rFonts w:asciiTheme="majorHAnsi" w:hAnsiTheme="majorHAnsi"/>
          <w:sz w:val="24"/>
          <w:szCs w:val="24"/>
        </w:rPr>
      </w:pPr>
    </w:p>
    <w:p w:rsidR="00451CE1" w:rsidRPr="00257A53" w:rsidRDefault="00451CE1" w:rsidP="00451CE1">
      <w:pPr>
        <w:spacing w:after="0"/>
        <w:rPr>
          <w:rFonts w:asciiTheme="majorHAnsi" w:hAnsiTheme="majorHAnsi"/>
          <w:sz w:val="24"/>
          <w:szCs w:val="24"/>
        </w:rPr>
      </w:pPr>
    </w:p>
    <w:p w:rsidR="001C087B" w:rsidRDefault="001C087B" w:rsidP="00451CE1">
      <w:pPr>
        <w:spacing w:after="0"/>
        <w:jc w:val="center"/>
        <w:rPr>
          <w:rFonts w:asciiTheme="majorHAnsi" w:hAnsiTheme="majorHAnsi"/>
          <w:b/>
          <w:i/>
          <w:sz w:val="24"/>
          <w:szCs w:val="24"/>
        </w:rPr>
      </w:pPr>
    </w:p>
    <w:p w:rsidR="002737D1" w:rsidRPr="00257A53" w:rsidRDefault="002737D1" w:rsidP="00451CE1">
      <w:pPr>
        <w:spacing w:after="0"/>
        <w:jc w:val="center"/>
        <w:rPr>
          <w:rFonts w:asciiTheme="majorHAnsi" w:hAnsiTheme="majorHAnsi"/>
          <w:b/>
          <w:i/>
          <w:sz w:val="24"/>
          <w:szCs w:val="24"/>
        </w:rPr>
      </w:pPr>
      <w:r w:rsidRPr="00257A53">
        <w:rPr>
          <w:rFonts w:asciiTheme="majorHAnsi" w:hAnsiTheme="majorHAnsi"/>
          <w:b/>
          <w:i/>
          <w:sz w:val="24"/>
          <w:szCs w:val="24"/>
        </w:rPr>
        <w:t>RIBADISCONO</w:t>
      </w:r>
    </w:p>
    <w:p w:rsidR="00257A53" w:rsidRPr="00257A53" w:rsidRDefault="00257A53" w:rsidP="00451CE1">
      <w:pPr>
        <w:spacing w:after="0"/>
        <w:jc w:val="center"/>
        <w:rPr>
          <w:rFonts w:asciiTheme="majorHAnsi" w:hAnsiTheme="majorHAnsi"/>
          <w:b/>
          <w:i/>
          <w:sz w:val="24"/>
          <w:szCs w:val="24"/>
        </w:rPr>
      </w:pPr>
    </w:p>
    <w:p w:rsidR="002737D1" w:rsidRPr="00257A53" w:rsidRDefault="002737D1" w:rsidP="00257A53">
      <w:pPr>
        <w:spacing w:after="0"/>
        <w:ind w:firstLine="708"/>
        <w:jc w:val="both"/>
        <w:rPr>
          <w:rFonts w:asciiTheme="majorHAnsi" w:hAnsiTheme="majorHAnsi"/>
          <w:sz w:val="24"/>
          <w:szCs w:val="24"/>
        </w:rPr>
      </w:pPr>
      <w:r w:rsidRPr="00257A53">
        <w:rPr>
          <w:rFonts w:asciiTheme="majorHAnsi" w:hAnsiTheme="majorHAnsi"/>
          <w:sz w:val="24"/>
          <w:szCs w:val="24"/>
        </w:rPr>
        <w:lastRenderedPageBreak/>
        <w:t xml:space="preserve">La necessità che </w:t>
      </w:r>
      <w:r w:rsidRPr="00257A53">
        <w:rPr>
          <w:rFonts w:asciiTheme="majorHAnsi" w:hAnsiTheme="majorHAnsi"/>
          <w:b/>
          <w:sz w:val="24"/>
          <w:szCs w:val="24"/>
        </w:rPr>
        <w:t xml:space="preserve">Governo </w:t>
      </w:r>
      <w:r w:rsidR="00523926" w:rsidRPr="00257A53">
        <w:rPr>
          <w:rFonts w:asciiTheme="majorHAnsi" w:hAnsiTheme="majorHAnsi"/>
          <w:b/>
          <w:sz w:val="24"/>
          <w:szCs w:val="24"/>
        </w:rPr>
        <w:t>individui percorsi e strumenti a</w:t>
      </w:r>
      <w:r w:rsidR="00EA6C27" w:rsidRPr="00257A53">
        <w:rPr>
          <w:rFonts w:asciiTheme="majorHAnsi" w:hAnsiTheme="majorHAnsi"/>
          <w:b/>
          <w:sz w:val="24"/>
          <w:szCs w:val="24"/>
        </w:rPr>
        <w:t xml:space="preserve">ffinchè si rendano disponibili </w:t>
      </w:r>
      <w:r w:rsidR="00523926" w:rsidRPr="00257A53">
        <w:rPr>
          <w:rFonts w:asciiTheme="majorHAnsi" w:hAnsiTheme="majorHAnsi"/>
          <w:b/>
          <w:sz w:val="24"/>
          <w:szCs w:val="24"/>
        </w:rPr>
        <w:t xml:space="preserve"> </w:t>
      </w:r>
      <w:r w:rsidRPr="00257A53">
        <w:rPr>
          <w:rFonts w:asciiTheme="majorHAnsi" w:hAnsiTheme="majorHAnsi"/>
          <w:b/>
          <w:sz w:val="24"/>
          <w:szCs w:val="24"/>
        </w:rPr>
        <w:t>spazi di spesa per interventi in conto capitale;</w:t>
      </w:r>
      <w:r w:rsidRPr="00257A53">
        <w:rPr>
          <w:rFonts w:asciiTheme="majorHAnsi" w:hAnsiTheme="majorHAnsi"/>
          <w:sz w:val="24"/>
          <w:szCs w:val="24"/>
        </w:rPr>
        <w:t xml:space="preserve"> ciò al fine di sostenere in funzione anticiclica la ripresa dei cantieri e degli investimenti, favorendo in questo modo l’adeguato respiro al sistema imprenditoriale ed economico del Paese, </w:t>
      </w:r>
      <w:r w:rsidR="00451CE1" w:rsidRPr="00257A53">
        <w:rPr>
          <w:rFonts w:asciiTheme="majorHAnsi" w:hAnsiTheme="majorHAnsi"/>
          <w:sz w:val="24"/>
          <w:szCs w:val="24"/>
        </w:rPr>
        <w:t xml:space="preserve">evitando al tempo stesso il deterioramento del livello quantitativo e qualitativo delle infrastrutture sui territori; </w:t>
      </w:r>
    </w:p>
    <w:p w:rsidR="002737D1" w:rsidRPr="00257A53" w:rsidRDefault="002737D1" w:rsidP="00451CE1">
      <w:pPr>
        <w:spacing w:after="0"/>
        <w:rPr>
          <w:rFonts w:asciiTheme="majorHAnsi" w:hAnsiTheme="majorHAnsi"/>
          <w:sz w:val="24"/>
          <w:szCs w:val="24"/>
        </w:rPr>
      </w:pPr>
    </w:p>
    <w:p w:rsidR="002737D1" w:rsidRPr="00257A53" w:rsidRDefault="002737D1" w:rsidP="00451CE1">
      <w:pPr>
        <w:spacing w:after="0"/>
        <w:jc w:val="center"/>
        <w:rPr>
          <w:rFonts w:asciiTheme="majorHAnsi" w:hAnsiTheme="majorHAnsi"/>
          <w:b/>
          <w:i/>
          <w:sz w:val="24"/>
          <w:szCs w:val="24"/>
        </w:rPr>
      </w:pPr>
      <w:r w:rsidRPr="00257A53">
        <w:rPr>
          <w:rFonts w:asciiTheme="majorHAnsi" w:hAnsiTheme="majorHAnsi"/>
          <w:b/>
          <w:i/>
          <w:sz w:val="24"/>
          <w:szCs w:val="24"/>
        </w:rPr>
        <w:t>CHIEDONO  AL GOVERNO</w:t>
      </w:r>
    </w:p>
    <w:p w:rsidR="00257A53" w:rsidRPr="00257A53" w:rsidRDefault="00257A53" w:rsidP="00451CE1">
      <w:pPr>
        <w:spacing w:after="0"/>
        <w:jc w:val="center"/>
        <w:rPr>
          <w:rFonts w:asciiTheme="majorHAnsi" w:hAnsiTheme="majorHAnsi"/>
          <w:b/>
          <w:i/>
          <w:sz w:val="24"/>
          <w:szCs w:val="24"/>
        </w:rPr>
      </w:pPr>
    </w:p>
    <w:p w:rsidR="001C087B" w:rsidRDefault="001C087B" w:rsidP="001C087B">
      <w:pPr>
        <w:pStyle w:val="Paragrafoelenco"/>
        <w:numPr>
          <w:ilvl w:val="0"/>
          <w:numId w:val="2"/>
        </w:numPr>
        <w:spacing w:after="0"/>
        <w:jc w:val="both"/>
        <w:rPr>
          <w:rFonts w:asciiTheme="majorHAnsi" w:hAnsiTheme="majorHAnsi"/>
          <w:b/>
          <w:sz w:val="24"/>
          <w:szCs w:val="24"/>
        </w:rPr>
      </w:pPr>
      <w:r>
        <w:rPr>
          <w:rFonts w:asciiTheme="majorHAnsi" w:hAnsiTheme="majorHAnsi"/>
          <w:b/>
          <w:sz w:val="24"/>
          <w:szCs w:val="24"/>
        </w:rPr>
        <w:t>Di avviare un tavolo di confronto che consenta di rivedere gli obiettivi del patto di stabilità interna per le Province per gli anni 2013/2014</w:t>
      </w:r>
    </w:p>
    <w:p w:rsidR="001C087B" w:rsidRDefault="001C087B" w:rsidP="001C087B">
      <w:pPr>
        <w:pStyle w:val="Paragrafoelenco"/>
        <w:spacing w:after="0"/>
        <w:ind w:left="1068"/>
        <w:jc w:val="both"/>
        <w:rPr>
          <w:rFonts w:asciiTheme="majorHAnsi" w:hAnsiTheme="majorHAnsi"/>
          <w:b/>
          <w:sz w:val="24"/>
          <w:szCs w:val="24"/>
        </w:rPr>
      </w:pPr>
    </w:p>
    <w:p w:rsidR="00451CE1" w:rsidRDefault="00451CE1" w:rsidP="001C087B">
      <w:pPr>
        <w:pStyle w:val="Paragrafoelenco"/>
        <w:numPr>
          <w:ilvl w:val="0"/>
          <w:numId w:val="2"/>
        </w:numPr>
        <w:spacing w:after="0"/>
        <w:jc w:val="both"/>
        <w:rPr>
          <w:rFonts w:asciiTheme="majorHAnsi" w:hAnsiTheme="majorHAnsi"/>
          <w:b/>
          <w:sz w:val="24"/>
          <w:szCs w:val="24"/>
        </w:rPr>
      </w:pPr>
      <w:r w:rsidRPr="001C087B">
        <w:rPr>
          <w:rFonts w:asciiTheme="majorHAnsi" w:hAnsiTheme="majorHAnsi"/>
          <w:b/>
          <w:sz w:val="24"/>
          <w:szCs w:val="24"/>
        </w:rPr>
        <w:t>Di consentire lo sblocco di parte dei residui passivi in conto capitale su specifici e delicati settori di intervento quali strade, scuole e interventi manutentivi a tutela del dissesto idrogeologico</w:t>
      </w:r>
      <w:r w:rsidR="00EA6C27" w:rsidRPr="001C087B">
        <w:rPr>
          <w:rFonts w:asciiTheme="majorHAnsi" w:hAnsiTheme="majorHAnsi"/>
          <w:b/>
          <w:sz w:val="24"/>
          <w:szCs w:val="24"/>
        </w:rPr>
        <w:t xml:space="preserve">; </w:t>
      </w:r>
    </w:p>
    <w:p w:rsidR="001C087B" w:rsidRDefault="001C087B" w:rsidP="001C087B">
      <w:pPr>
        <w:pStyle w:val="Paragrafoelenco"/>
        <w:spacing w:after="0"/>
        <w:ind w:left="1068"/>
        <w:jc w:val="both"/>
        <w:rPr>
          <w:rFonts w:asciiTheme="majorHAnsi" w:hAnsiTheme="majorHAnsi"/>
          <w:b/>
          <w:sz w:val="24"/>
          <w:szCs w:val="24"/>
        </w:rPr>
      </w:pPr>
    </w:p>
    <w:p w:rsidR="001C087B" w:rsidRDefault="001C087B" w:rsidP="001C087B">
      <w:pPr>
        <w:pStyle w:val="Paragrafoelenco"/>
        <w:numPr>
          <w:ilvl w:val="0"/>
          <w:numId w:val="2"/>
        </w:numPr>
        <w:spacing w:after="0"/>
        <w:jc w:val="both"/>
        <w:rPr>
          <w:rFonts w:asciiTheme="majorHAnsi" w:hAnsiTheme="majorHAnsi"/>
          <w:b/>
          <w:sz w:val="24"/>
          <w:szCs w:val="24"/>
        </w:rPr>
      </w:pPr>
      <w:r>
        <w:rPr>
          <w:rFonts w:asciiTheme="majorHAnsi" w:hAnsiTheme="majorHAnsi"/>
          <w:b/>
          <w:sz w:val="24"/>
          <w:szCs w:val="24"/>
        </w:rPr>
        <w:t>Di liberare gli avanzi di amministrazione per abbattere il debito, con penali a carico dello Stato;</w:t>
      </w:r>
    </w:p>
    <w:p w:rsidR="001C087B" w:rsidRPr="001C087B" w:rsidRDefault="001C087B" w:rsidP="001C087B">
      <w:pPr>
        <w:pStyle w:val="Paragrafoelenco"/>
        <w:rPr>
          <w:rFonts w:asciiTheme="majorHAnsi" w:hAnsiTheme="majorHAnsi"/>
          <w:b/>
          <w:sz w:val="24"/>
          <w:szCs w:val="24"/>
        </w:rPr>
      </w:pPr>
    </w:p>
    <w:p w:rsidR="001C087B" w:rsidRPr="001C087B" w:rsidRDefault="001C087B" w:rsidP="001C087B">
      <w:pPr>
        <w:pStyle w:val="Paragrafoelenco"/>
        <w:numPr>
          <w:ilvl w:val="0"/>
          <w:numId w:val="2"/>
        </w:numPr>
        <w:spacing w:after="0"/>
        <w:jc w:val="both"/>
        <w:rPr>
          <w:rFonts w:asciiTheme="majorHAnsi" w:hAnsiTheme="majorHAnsi"/>
          <w:b/>
          <w:sz w:val="24"/>
          <w:szCs w:val="24"/>
        </w:rPr>
      </w:pPr>
      <w:r>
        <w:rPr>
          <w:rFonts w:asciiTheme="majorHAnsi" w:hAnsiTheme="majorHAnsi"/>
          <w:b/>
          <w:sz w:val="24"/>
          <w:szCs w:val="24"/>
        </w:rPr>
        <w:t>Di aprire immediatamente il tavolo per l’applicazione concreta degli indicatori di virtuosità, secondo quanto previsto dalla manovra economica.</w:t>
      </w:r>
    </w:p>
    <w:p w:rsidR="00451CE1" w:rsidRPr="00257A53" w:rsidRDefault="00451CE1" w:rsidP="00451CE1">
      <w:pPr>
        <w:spacing w:after="0"/>
        <w:rPr>
          <w:rFonts w:asciiTheme="majorHAnsi" w:hAnsiTheme="majorHAnsi"/>
          <w:sz w:val="24"/>
          <w:szCs w:val="24"/>
        </w:rPr>
      </w:pPr>
    </w:p>
    <w:p w:rsidR="002737D1" w:rsidRPr="00257A53" w:rsidRDefault="002737D1" w:rsidP="00451CE1">
      <w:pPr>
        <w:spacing w:after="0"/>
        <w:rPr>
          <w:rFonts w:asciiTheme="majorHAnsi" w:hAnsiTheme="majorHAnsi"/>
          <w:sz w:val="24"/>
          <w:szCs w:val="24"/>
        </w:rPr>
      </w:pPr>
    </w:p>
    <w:p w:rsidR="002737D1" w:rsidRPr="00257A53" w:rsidRDefault="002737D1" w:rsidP="00451CE1">
      <w:pPr>
        <w:spacing w:after="0"/>
        <w:jc w:val="center"/>
        <w:rPr>
          <w:rFonts w:asciiTheme="majorHAnsi" w:hAnsiTheme="majorHAnsi"/>
          <w:b/>
          <w:i/>
          <w:sz w:val="24"/>
          <w:szCs w:val="24"/>
        </w:rPr>
      </w:pPr>
      <w:r w:rsidRPr="00257A53">
        <w:rPr>
          <w:rFonts w:asciiTheme="majorHAnsi" w:hAnsiTheme="majorHAnsi"/>
          <w:b/>
          <w:i/>
          <w:sz w:val="24"/>
          <w:szCs w:val="24"/>
        </w:rPr>
        <w:t>RIBADISCONO</w:t>
      </w:r>
    </w:p>
    <w:p w:rsidR="00257A53" w:rsidRDefault="00257A53" w:rsidP="00257A53">
      <w:pPr>
        <w:spacing w:after="0"/>
        <w:ind w:firstLine="708"/>
        <w:jc w:val="both"/>
        <w:rPr>
          <w:rFonts w:asciiTheme="majorHAnsi" w:hAnsiTheme="majorHAnsi"/>
          <w:sz w:val="24"/>
          <w:szCs w:val="24"/>
        </w:rPr>
      </w:pPr>
    </w:p>
    <w:p w:rsidR="00451CE1" w:rsidRPr="00257A53" w:rsidRDefault="00451CE1" w:rsidP="00257A53">
      <w:pPr>
        <w:spacing w:after="0"/>
        <w:ind w:firstLine="708"/>
        <w:jc w:val="both"/>
        <w:rPr>
          <w:rFonts w:asciiTheme="majorHAnsi" w:hAnsiTheme="majorHAnsi"/>
          <w:sz w:val="24"/>
          <w:szCs w:val="24"/>
        </w:rPr>
      </w:pPr>
      <w:r w:rsidRPr="00257A53">
        <w:rPr>
          <w:rFonts w:asciiTheme="majorHAnsi" w:hAnsiTheme="majorHAnsi"/>
          <w:sz w:val="24"/>
          <w:szCs w:val="24"/>
        </w:rPr>
        <w:t>La necessità di</w:t>
      </w:r>
      <w:r w:rsidR="00EA6C27" w:rsidRPr="00257A53">
        <w:rPr>
          <w:rFonts w:asciiTheme="majorHAnsi" w:hAnsiTheme="majorHAnsi"/>
          <w:sz w:val="24"/>
          <w:szCs w:val="24"/>
        </w:rPr>
        <w:t xml:space="preserve"> procedere con speditezza alla </w:t>
      </w:r>
      <w:r w:rsidR="00EA6C27" w:rsidRPr="00257A53">
        <w:rPr>
          <w:rFonts w:asciiTheme="majorHAnsi" w:hAnsiTheme="majorHAnsi"/>
          <w:b/>
          <w:sz w:val="24"/>
          <w:szCs w:val="24"/>
        </w:rPr>
        <w:t xml:space="preserve">emanazione dei decreti attuativi previsti dal decreto legislativo n.68/11 relativo all’autonomia di entrata di regioni e </w:t>
      </w:r>
      <w:r w:rsidR="00EA1CCC" w:rsidRPr="00257A53">
        <w:rPr>
          <w:rFonts w:asciiTheme="majorHAnsi" w:hAnsiTheme="majorHAnsi"/>
          <w:b/>
          <w:sz w:val="24"/>
          <w:szCs w:val="24"/>
        </w:rPr>
        <w:t>p</w:t>
      </w:r>
      <w:r w:rsidR="00EA6C27" w:rsidRPr="00257A53">
        <w:rPr>
          <w:rFonts w:asciiTheme="majorHAnsi" w:hAnsiTheme="majorHAnsi"/>
          <w:b/>
          <w:sz w:val="24"/>
          <w:szCs w:val="24"/>
        </w:rPr>
        <w:t>rovince</w:t>
      </w:r>
      <w:r w:rsidR="00EA1CCC" w:rsidRPr="00257A53">
        <w:rPr>
          <w:rFonts w:asciiTheme="majorHAnsi" w:hAnsiTheme="majorHAnsi"/>
          <w:b/>
          <w:sz w:val="24"/>
          <w:szCs w:val="24"/>
        </w:rPr>
        <w:t>, con particolare riferimento alla costituzione della Conferenza Permanente per la finanza pubblica</w:t>
      </w:r>
      <w:r w:rsidR="00EA1CCC" w:rsidRPr="00257A53">
        <w:rPr>
          <w:rFonts w:asciiTheme="majorHAnsi" w:hAnsiTheme="majorHAnsi"/>
          <w:sz w:val="24"/>
          <w:szCs w:val="24"/>
        </w:rPr>
        <w:t xml:space="preserve">, nella quale operare la necessaria </w:t>
      </w:r>
      <w:r w:rsidRPr="00257A53">
        <w:rPr>
          <w:rFonts w:asciiTheme="majorHAnsi" w:hAnsiTheme="majorHAnsi"/>
          <w:sz w:val="24"/>
          <w:szCs w:val="24"/>
        </w:rPr>
        <w:t xml:space="preserve">chiarezza sui meccanismi di autonomia finanziaria che il decreto legislativo n.68/11 ha definito per le Province, soprattutto in ordine alle risorse ora disponibili per garantire una effettività di funzionamento ai fondi stessi. </w:t>
      </w:r>
    </w:p>
    <w:sectPr w:rsidR="00451CE1" w:rsidRPr="00257A53" w:rsidSect="00F7578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7B6" w:rsidRDefault="008517B6" w:rsidP="0065055F">
      <w:pPr>
        <w:spacing w:after="0" w:line="240" w:lineRule="auto"/>
      </w:pPr>
      <w:r>
        <w:separator/>
      </w:r>
    </w:p>
  </w:endnote>
  <w:endnote w:type="continuationSeparator" w:id="1">
    <w:p w:rsidR="008517B6" w:rsidRDefault="008517B6" w:rsidP="00650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7B6" w:rsidRDefault="008517B6" w:rsidP="0065055F">
      <w:pPr>
        <w:spacing w:after="0" w:line="240" w:lineRule="auto"/>
      </w:pPr>
      <w:r>
        <w:separator/>
      </w:r>
    </w:p>
  </w:footnote>
  <w:footnote w:type="continuationSeparator" w:id="1">
    <w:p w:rsidR="008517B6" w:rsidRDefault="008517B6" w:rsidP="006505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E4568"/>
    <w:multiLevelType w:val="hybridMultilevel"/>
    <w:tmpl w:val="96802274"/>
    <w:lvl w:ilvl="0" w:tplc="52C01A4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59BA7D2B"/>
    <w:multiLevelType w:val="hybridMultilevel"/>
    <w:tmpl w:val="ECAE56C6"/>
    <w:lvl w:ilvl="0" w:tplc="F6CEE5C8">
      <w:start w:val="1"/>
      <w:numFmt w:val="bullet"/>
      <w:lvlText w:val="-"/>
      <w:lvlJc w:val="left"/>
      <w:pPr>
        <w:ind w:left="420" w:hanging="360"/>
      </w:pPr>
      <w:rPr>
        <w:rFonts w:ascii="Cambria" w:eastAsiaTheme="minorEastAsia" w:hAnsi="Cambria"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useFELayout/>
  </w:compat>
  <w:rsids>
    <w:rsidRoot w:val="006609D8"/>
    <w:rsid w:val="0006053F"/>
    <w:rsid w:val="00157DAC"/>
    <w:rsid w:val="001C087B"/>
    <w:rsid w:val="001F28DB"/>
    <w:rsid w:val="00257A53"/>
    <w:rsid w:val="002737D1"/>
    <w:rsid w:val="0028367A"/>
    <w:rsid w:val="00356B70"/>
    <w:rsid w:val="003A4AAA"/>
    <w:rsid w:val="004016F0"/>
    <w:rsid w:val="00451CE1"/>
    <w:rsid w:val="004B706B"/>
    <w:rsid w:val="00523926"/>
    <w:rsid w:val="005B4421"/>
    <w:rsid w:val="00612E6F"/>
    <w:rsid w:val="0065055F"/>
    <w:rsid w:val="006609D8"/>
    <w:rsid w:val="0075082A"/>
    <w:rsid w:val="008517B6"/>
    <w:rsid w:val="00873738"/>
    <w:rsid w:val="009E18B9"/>
    <w:rsid w:val="00EA1CCC"/>
    <w:rsid w:val="00EA6C27"/>
    <w:rsid w:val="00EB45CD"/>
    <w:rsid w:val="00EE7D25"/>
    <w:rsid w:val="00F715BA"/>
    <w:rsid w:val="00F757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6B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1C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CE1"/>
    <w:rPr>
      <w:rFonts w:ascii="Tahoma" w:hAnsi="Tahoma" w:cs="Tahoma"/>
      <w:sz w:val="16"/>
      <w:szCs w:val="16"/>
    </w:rPr>
  </w:style>
  <w:style w:type="paragraph" w:styleId="Paragrafoelenco">
    <w:name w:val="List Paragraph"/>
    <w:basedOn w:val="Normale"/>
    <w:uiPriority w:val="34"/>
    <w:qFormat/>
    <w:rsid w:val="004B706B"/>
    <w:pPr>
      <w:ind w:left="720"/>
      <w:contextualSpacing/>
    </w:pPr>
  </w:style>
  <w:style w:type="paragraph" w:styleId="Intestazione">
    <w:name w:val="header"/>
    <w:basedOn w:val="Normale"/>
    <w:link w:val="IntestazioneCarattere"/>
    <w:uiPriority w:val="99"/>
    <w:unhideWhenUsed/>
    <w:rsid w:val="00650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55F"/>
  </w:style>
  <w:style w:type="paragraph" w:styleId="Pidipagina">
    <w:name w:val="footer"/>
    <w:basedOn w:val="Normale"/>
    <w:link w:val="PidipaginaCarattere"/>
    <w:uiPriority w:val="99"/>
    <w:unhideWhenUsed/>
    <w:rsid w:val="00650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1C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1CE1"/>
    <w:rPr>
      <w:rFonts w:ascii="Tahoma" w:hAnsi="Tahoma" w:cs="Tahoma"/>
      <w:sz w:val="16"/>
      <w:szCs w:val="16"/>
    </w:rPr>
  </w:style>
  <w:style w:type="paragraph" w:styleId="Paragrafoelenco">
    <w:name w:val="List Paragraph"/>
    <w:basedOn w:val="Normale"/>
    <w:uiPriority w:val="34"/>
    <w:qFormat/>
    <w:rsid w:val="004B706B"/>
    <w:pPr>
      <w:ind w:left="720"/>
      <w:contextualSpacing/>
    </w:pPr>
  </w:style>
  <w:style w:type="paragraph" w:styleId="Intestazione">
    <w:name w:val="header"/>
    <w:basedOn w:val="Normale"/>
    <w:link w:val="IntestazioneCarattere"/>
    <w:uiPriority w:val="99"/>
    <w:unhideWhenUsed/>
    <w:rsid w:val="00650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055F"/>
  </w:style>
  <w:style w:type="paragraph" w:styleId="Pidipagina">
    <w:name w:val="footer"/>
    <w:basedOn w:val="Normale"/>
    <w:link w:val="PidipaginaCarattere"/>
    <w:uiPriority w:val="99"/>
    <w:unhideWhenUsed/>
    <w:rsid w:val="00650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55F"/>
  </w:style>
</w:styles>
</file>

<file path=word/webSettings.xml><?xml version="1.0" encoding="utf-8"?>
<w:webSettings xmlns:r="http://schemas.openxmlformats.org/officeDocument/2006/relationships" xmlns:w="http://schemas.openxmlformats.org/wordprocessingml/2006/main">
  <w:divs>
    <w:div w:id="1406340333">
      <w:bodyDiv w:val="1"/>
      <w:marLeft w:val="0"/>
      <w:marRight w:val="0"/>
      <w:marTop w:val="0"/>
      <w:marBottom w:val="0"/>
      <w:divBdr>
        <w:top w:val="none" w:sz="0" w:space="0" w:color="auto"/>
        <w:left w:val="none" w:sz="0" w:space="0" w:color="auto"/>
        <w:bottom w:val="none" w:sz="0" w:space="0" w:color="auto"/>
        <w:right w:val="none" w:sz="0" w:space="0" w:color="auto"/>
      </w:divBdr>
    </w:div>
    <w:div w:id="19119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 </cp:lastModifiedBy>
  <cp:revision>3</cp:revision>
  <dcterms:created xsi:type="dcterms:W3CDTF">2011-07-13T16:07:00Z</dcterms:created>
  <dcterms:modified xsi:type="dcterms:W3CDTF">2011-07-15T11:31:00Z</dcterms:modified>
</cp:coreProperties>
</file>